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="Arial"/>
          <w:color w:val="000000"/>
        </w:rPr>
      </w:pPr>
      <w:bookmarkStart w:id="0" w:name="_Toc107063498"/>
      <w:bookmarkStart w:id="1" w:name="_Toc112828908"/>
      <w:bookmarkStart w:id="2" w:name="_Toc123994344"/>
      <w:bookmarkStart w:id="3" w:name="_Hlk107244771"/>
      <w:r w:rsidRPr="009B12F9">
        <w:rPr>
          <w:rFonts w:ascii="Arial" w:hAnsi="Arial" w:cs="Arial"/>
          <w:b/>
          <w:sz w:val="36"/>
          <w:szCs w:val="36"/>
        </w:rPr>
        <w:t xml:space="preserve">Dealing with Unreasonable, Violent </w:t>
      </w:r>
      <w:r w:rsidRPr="009B12F9">
        <w:rPr>
          <w:rFonts w:ascii="Arial" w:hAnsi="Arial" w:cs="Arial"/>
          <w:b/>
          <w:sz w:val="36"/>
          <w:szCs w:val="36"/>
        </w:rPr>
        <w:br/>
        <w:t>and Abusive Patients</w:t>
      </w:r>
    </w:p>
    <w:p w:rsid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="Arial"/>
          <w:color w:val="000000"/>
        </w:rPr>
      </w:pPr>
    </w:p>
    <w:p w:rsid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="Arial"/>
          <w:color w:val="000000"/>
        </w:rPr>
      </w:pPr>
      <w:r w:rsidRPr="00253420">
        <w:rPr>
          <w:rFonts w:ascii="Century Gothic" w:eastAsia="Times New Roman" w:hAnsi="Century Gothic" w:cs="Arial"/>
          <w:color w:val="000000"/>
        </w:rPr>
        <w:t>At</w:t>
      </w:r>
      <w:r>
        <w:rPr>
          <w:rFonts w:ascii="Century Gothic" w:eastAsia="Times New Roman" w:hAnsi="Century Gothic" w:cs="Arial"/>
          <w:color w:val="000000"/>
        </w:rPr>
        <w:t xml:space="preserve"> Dorridge Surgery</w:t>
      </w:r>
      <w:r w:rsidRPr="00253420">
        <w:rPr>
          <w:rFonts w:ascii="Century Gothic" w:eastAsia="Times New Roman" w:hAnsi="Century Gothic" w:cs="Arial"/>
          <w:color w:val="000000"/>
        </w:rPr>
        <w:t xml:space="preserve">, </w:t>
      </w:r>
      <w:r>
        <w:rPr>
          <w:rFonts w:ascii="Century Gothic" w:eastAsia="Times New Roman" w:hAnsi="Century Gothic" w:cs="Arial"/>
          <w:color w:val="000000"/>
        </w:rPr>
        <w:t xml:space="preserve">we have a duty of care to our staff, patients and visitors to the surgery &amp; </w:t>
      </w:r>
      <w:r w:rsidRPr="00253420">
        <w:rPr>
          <w:rFonts w:ascii="Century Gothic" w:eastAsia="Times New Roman" w:hAnsi="Century Gothic" w:cs="Arial"/>
          <w:color w:val="000000"/>
        </w:rPr>
        <w:t xml:space="preserve">at no time will any violent, threatening or abusive behaviour be tolerated towards staff, patients or visitors. </w:t>
      </w:r>
    </w:p>
    <w:p w:rsid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="Arial"/>
          <w:color w:val="000000"/>
        </w:rPr>
      </w:pPr>
    </w:p>
    <w:p w:rsid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t>Behaviour we may experience and how we may deal with this:</w:t>
      </w:r>
    </w:p>
    <w:p w:rsid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eastAsia="Times New Roman" w:hAnsi="Century Gothic" w:cs="Arial"/>
          <w:color w:val="000000"/>
        </w:rPr>
      </w:pPr>
    </w:p>
    <w:p w:rsidR="00021BC4" w:rsidRPr="00021BC4" w:rsidRDefault="00021BC4" w:rsidP="00021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Arial"/>
          <w:b/>
          <w:smallCaps/>
          <w:sz w:val="24"/>
          <w:szCs w:val="24"/>
        </w:rPr>
      </w:pPr>
      <w:r w:rsidRPr="00021BC4">
        <w:rPr>
          <w:rFonts w:ascii="Century Gothic" w:eastAsia="Times New Roman" w:hAnsi="Century Gothic" w:cs="Arial"/>
          <w:b/>
          <w:color w:val="000000"/>
        </w:rPr>
        <w:t>U</w:t>
      </w:r>
      <w:r w:rsidRPr="00021BC4">
        <w:rPr>
          <w:rFonts w:ascii="Century Gothic" w:hAnsi="Century Gothic" w:cs="Arial"/>
          <w:b/>
          <w:sz w:val="24"/>
          <w:szCs w:val="24"/>
        </w:rPr>
        <w:t>nreasonable behaviour</w:t>
      </w:r>
      <w:bookmarkEnd w:id="0"/>
      <w:bookmarkEnd w:id="1"/>
      <w:bookmarkEnd w:id="2"/>
      <w:r w:rsidRPr="00021BC4">
        <w:rPr>
          <w:rFonts w:ascii="Century Gothic" w:hAnsi="Century Gothic" w:cs="Arial"/>
          <w:b/>
          <w:sz w:val="24"/>
          <w:szCs w:val="24"/>
        </w:rPr>
        <w:t xml:space="preserve"> </w:t>
      </w:r>
    </w:p>
    <w:bookmarkEnd w:id="3"/>
    <w:p w:rsidR="00021BC4" w:rsidRPr="00696419" w:rsidRDefault="00021BC4" w:rsidP="00021BC4"/>
    <w:p w:rsidR="00021BC4" w:rsidRPr="00253420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 xml:space="preserve">There are many reasons why a patient’s behaviour may become unreasonable, including: 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Substance misuse</w:t>
      </w:r>
    </w:p>
    <w:p w:rsidR="00021BC4" w:rsidRPr="00253420" w:rsidRDefault="00021BC4" w:rsidP="00021BC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If they are scared, anxious or distressed</w:t>
      </w:r>
    </w:p>
    <w:p w:rsidR="00021BC4" w:rsidRPr="00253420" w:rsidRDefault="00021BC4" w:rsidP="00021BC4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If they are frustrated, unwell or in pain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 xml:space="preserve">All staff at </w:t>
      </w:r>
      <w:r>
        <w:rPr>
          <w:rFonts w:ascii="Century Gothic" w:eastAsia="Times New Roman" w:hAnsi="Century Gothic" w:cs="Arial"/>
          <w:color w:val="000000"/>
        </w:rPr>
        <w:t>Dorridge Surgery</w:t>
      </w:r>
      <w:r w:rsidRPr="00253420">
        <w:rPr>
          <w:rFonts w:ascii="Century Gothic" w:hAnsi="Century Gothic"/>
        </w:rPr>
        <w:t xml:space="preserve"> may experience patients who are: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Demanding</w:t>
      </w:r>
    </w:p>
    <w:p w:rsidR="00021BC4" w:rsidRPr="00253420" w:rsidRDefault="00021BC4" w:rsidP="00021BC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Unwilling to listen</w:t>
      </w:r>
    </w:p>
    <w:p w:rsidR="00021BC4" w:rsidRPr="00253420" w:rsidRDefault="00021BC4" w:rsidP="00021BC4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Uncooperative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>There are several factors associated with difficult and challenging interactions with patients, such as a lack of resources, waiting times and interruptions during consultations. For these reasons, the ‘demanding’ or ‘difficult’ patient can potentially consume a large amount of the clinician’s and manager’s time.</w:t>
      </w:r>
    </w:p>
    <w:p w:rsidR="00021BC4" w:rsidRPr="00253420" w:rsidRDefault="00021BC4" w:rsidP="00021BC4">
      <w:pPr>
        <w:pStyle w:val="Heading2"/>
        <w:numPr>
          <w:ilvl w:val="0"/>
          <w:numId w:val="0"/>
        </w:numPr>
        <w:ind w:left="576" w:hanging="576"/>
        <w:rPr>
          <w:rFonts w:ascii="Century Gothic" w:hAnsi="Century Gothic" w:cs="Arial"/>
          <w:smallCaps w:val="0"/>
          <w:sz w:val="24"/>
          <w:szCs w:val="24"/>
          <w:lang w:val="en-GB"/>
        </w:rPr>
      </w:pPr>
      <w:bookmarkStart w:id="4" w:name="_Toc112828909"/>
      <w:bookmarkStart w:id="5" w:name="_Toc123994345"/>
      <w:r w:rsidRPr="00253420">
        <w:rPr>
          <w:rFonts w:ascii="Century Gothic" w:hAnsi="Century Gothic" w:cs="Arial"/>
          <w:smallCaps w:val="0"/>
          <w:sz w:val="24"/>
          <w:szCs w:val="24"/>
          <w:lang w:val="en-GB"/>
        </w:rPr>
        <w:t>Inappropriate behaviour</w:t>
      </w:r>
      <w:bookmarkEnd w:id="4"/>
      <w:bookmarkEnd w:id="5"/>
    </w:p>
    <w:p w:rsidR="00021BC4" w:rsidRPr="00696419" w:rsidRDefault="00021BC4" w:rsidP="00021BC4"/>
    <w:p w:rsidR="00021BC4" w:rsidRPr="00253420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>Inappropriate behaviour is defined as being unacceptable if: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It is unwanted by the recipient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It has the purpose or effect of violating the recipient’s dignity and/or creating an intimidating, hostile, degrading, humiliating or offensive environment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 xml:space="preserve">Inappropriate behaviour does not have to be face-to-face and may take other forms including written, telephone or e-mail communications or through social media. This is covered in the </w:t>
      </w:r>
      <w:hyperlink r:id="rId5" w:history="1">
        <w:r w:rsidRPr="00253420">
          <w:rPr>
            <w:rFonts w:ascii="Century Gothic" w:hAnsi="Century Gothic"/>
          </w:rPr>
          <w:t>Patient Social Media and Acceptable Use Policy</w:t>
        </w:r>
      </w:hyperlink>
      <w:r w:rsidRPr="00253420">
        <w:rPr>
          <w:rFonts w:ascii="Century Gothic" w:hAnsi="Century Gothic"/>
        </w:rPr>
        <w:t>.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 xml:space="preserve">Some examples of inappropriate behaviour include, but are not limited to the following: 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Aggressive or abusive behaviour, such as shouting or personal insults, in person or via social media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Discrimination or harassment when related to a protected characteristic under the Equality Act 2010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Unwanted physical contact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Spreading malicious rumours or gossip or insulting someone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Stalking</w:t>
      </w:r>
    </w:p>
    <w:p w:rsidR="00021BC4" w:rsidRPr="00253420" w:rsidRDefault="00021BC4" w:rsidP="00021BC4">
      <w:pPr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Offensive comments/jokes or body language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Persistent and unreasonable criticism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Unreasonable demands and impossible requests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253420" w:rsidRDefault="00021BC4" w:rsidP="00021BC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253420">
        <w:rPr>
          <w:rFonts w:ascii="Century Gothic" w:hAnsi="Century Gothic"/>
        </w:rPr>
        <w:t>Coercion, such as pressure to subscribe to a particular political or religious belief</w:t>
      </w:r>
    </w:p>
    <w:p w:rsidR="00021BC4" w:rsidRPr="00253420" w:rsidRDefault="00021BC4" w:rsidP="00021BC4">
      <w:pPr>
        <w:pStyle w:val="ListParagraph"/>
        <w:rPr>
          <w:rFonts w:ascii="Century Gothic" w:hAnsi="Century Gothic"/>
        </w:rPr>
      </w:pPr>
    </w:p>
    <w:p w:rsidR="00021BC4" w:rsidRPr="00696F2E" w:rsidRDefault="00021BC4" w:rsidP="00021BC4">
      <w:pPr>
        <w:rPr>
          <w:rFonts w:ascii="Century Gothic" w:hAnsi="Century Gothic"/>
        </w:rPr>
      </w:pPr>
      <w:r w:rsidRPr="00253420">
        <w:rPr>
          <w:rFonts w:ascii="Century Gothic" w:hAnsi="Century Gothic"/>
        </w:rPr>
        <w:t>What constitutes inappropriate or unreasonable behaviour could be viewed as a subjective matter. Therefore, to ensure objectivity and prior to any further actions</w:t>
      </w:r>
      <w:r w:rsidRPr="00696F2E">
        <w:rPr>
          <w:rFonts w:ascii="Century Gothic" w:hAnsi="Century Gothic"/>
        </w:rPr>
        <w:t xml:space="preserve"> being taken, incidents of inappropriate behaviour will be discussed with a member of the senior management team. </w:t>
      </w:r>
    </w:p>
    <w:p w:rsidR="00021BC4" w:rsidRPr="00696F2E" w:rsidRDefault="00021BC4" w:rsidP="00021BC4">
      <w:pPr>
        <w:rPr>
          <w:rFonts w:ascii="Century Gothic" w:hAnsi="Century Gothic"/>
        </w:rPr>
      </w:pPr>
    </w:p>
    <w:p w:rsidR="00021BC4" w:rsidRPr="00696F2E" w:rsidRDefault="00021BC4" w:rsidP="00021BC4">
      <w:pPr>
        <w:rPr>
          <w:rFonts w:ascii="Century Gothic" w:hAnsi="Century Gothic"/>
        </w:rPr>
      </w:pPr>
      <w:r w:rsidRPr="00696F2E">
        <w:rPr>
          <w:rFonts w:ascii="Century Gothic" w:hAnsi="Century Gothic"/>
        </w:rPr>
        <w:t>Any person, be they staff, visitor or service user, who encounters unreasonable behaviour will be fully supported by senior management.</w:t>
      </w:r>
    </w:p>
    <w:p w:rsidR="00021BC4" w:rsidRPr="00696F2E" w:rsidRDefault="00021BC4" w:rsidP="00021BC4">
      <w:pPr>
        <w:pStyle w:val="Heading2"/>
        <w:numPr>
          <w:ilvl w:val="0"/>
          <w:numId w:val="0"/>
        </w:numPr>
        <w:ind w:left="576" w:hanging="576"/>
        <w:rPr>
          <w:rFonts w:ascii="Century Gothic" w:hAnsi="Century Gothic" w:cs="Arial"/>
          <w:smallCaps w:val="0"/>
          <w:sz w:val="24"/>
          <w:szCs w:val="24"/>
          <w:lang w:val="en-GB"/>
        </w:rPr>
      </w:pPr>
      <w:bookmarkStart w:id="6" w:name="_Toc112828910"/>
      <w:bookmarkStart w:id="7" w:name="_Toc123994346"/>
      <w:r w:rsidRPr="00696F2E">
        <w:rPr>
          <w:rFonts w:ascii="Century Gothic" w:hAnsi="Century Gothic" w:cs="Arial"/>
          <w:smallCaps w:val="0"/>
          <w:sz w:val="24"/>
          <w:szCs w:val="24"/>
          <w:lang w:val="en-GB"/>
        </w:rPr>
        <w:t>Violent or abusive behaviour</w:t>
      </w:r>
      <w:bookmarkEnd w:id="6"/>
      <w:bookmarkEnd w:id="7"/>
      <w:r w:rsidRPr="00696F2E">
        <w:rPr>
          <w:rFonts w:ascii="Century Gothic" w:hAnsi="Century Gothic" w:cs="Arial"/>
          <w:smallCaps w:val="0"/>
          <w:sz w:val="24"/>
          <w:szCs w:val="24"/>
          <w:lang w:val="en-GB"/>
        </w:rPr>
        <w:t xml:space="preserve"> </w:t>
      </w:r>
    </w:p>
    <w:p w:rsidR="00021BC4" w:rsidRDefault="00021BC4" w:rsidP="00021BC4">
      <w:pPr>
        <w:rPr>
          <w:rFonts w:ascii="Arial" w:hAnsi="Arial" w:cs="Arial"/>
        </w:rPr>
      </w:pPr>
    </w:p>
    <w:p w:rsidR="00021BC4" w:rsidRPr="00696F2E" w:rsidRDefault="00021BC4" w:rsidP="00021BC4">
      <w:pPr>
        <w:rPr>
          <w:rFonts w:ascii="Century Gothic" w:hAnsi="Century Gothic"/>
        </w:rPr>
      </w:pPr>
      <w:r w:rsidRPr="00696F2E">
        <w:rPr>
          <w:rFonts w:ascii="Century Gothic" w:hAnsi="Century Gothic"/>
        </w:rPr>
        <w:t xml:space="preserve">It is acknowledged that a small minority of patients may become abusive or violent towards staff at Dorridge Surgery, making it difficult for the healthcare team to provide services. This organisation has a </w:t>
      </w:r>
      <w:hyperlink r:id="rId6" w:history="1">
        <w:r w:rsidRPr="00696F2E">
          <w:rPr>
            <w:rFonts w:ascii="Century Gothic" w:hAnsi="Century Gothic"/>
          </w:rPr>
          <w:t>zero tolerance</w:t>
        </w:r>
      </w:hyperlink>
      <w:r w:rsidRPr="00696F2E">
        <w:rPr>
          <w:rFonts w:ascii="Century Gothic" w:hAnsi="Century Gothic"/>
        </w:rPr>
        <w:t xml:space="preserve"> towards such behaviour and is committed to reducing the risk to staff and other patients resulting from such behaviour.    </w:t>
      </w:r>
    </w:p>
    <w:p w:rsidR="00021BC4" w:rsidRPr="00696F2E" w:rsidRDefault="00021BC4" w:rsidP="00021BC4">
      <w:pPr>
        <w:rPr>
          <w:rFonts w:ascii="Century Gothic" w:hAnsi="Century Gothic"/>
        </w:rPr>
      </w:pPr>
      <w:r w:rsidRPr="00696F2E">
        <w:rPr>
          <w:rFonts w:ascii="Century Gothic" w:hAnsi="Century Gothic"/>
        </w:rPr>
        <w:t xml:space="preserve">         </w:t>
      </w:r>
    </w:p>
    <w:p w:rsidR="00021BC4" w:rsidRPr="00696F2E" w:rsidRDefault="00021BC4" w:rsidP="00021BC4">
      <w:pPr>
        <w:rPr>
          <w:rFonts w:ascii="Century Gothic" w:hAnsi="Century Gothic"/>
        </w:rPr>
      </w:pPr>
      <w:r w:rsidRPr="00696F2E">
        <w:rPr>
          <w:rFonts w:ascii="Century Gothic" w:hAnsi="Century Gothic"/>
        </w:rPr>
        <w:t>NHS England classifies violent or abusive behaviour as:</w:t>
      </w:r>
      <w:r w:rsidRPr="00696F2E">
        <w:rPr>
          <w:rFonts w:ascii="Century Gothic" w:hAnsi="Century Gothic"/>
        </w:rPr>
        <w:br/>
      </w:r>
    </w:p>
    <w:p w:rsidR="00021BC4" w:rsidRPr="00696F2E" w:rsidRDefault="00021BC4" w:rsidP="00021BC4">
      <w:pPr>
        <w:numPr>
          <w:ilvl w:val="0"/>
          <w:numId w:val="6"/>
        </w:numPr>
        <w:contextualSpacing/>
        <w:rPr>
          <w:rFonts w:ascii="Century Gothic" w:hAnsi="Century Gothic"/>
        </w:rPr>
      </w:pPr>
      <w:r w:rsidRPr="00696F2E">
        <w:rPr>
          <w:rFonts w:ascii="Century Gothic" w:hAnsi="Century Gothic"/>
        </w:rPr>
        <w:t>Any incident in which “an employee is abused, threatened or assaulted in circumstances relating to their work” (</w:t>
      </w:r>
      <w:hyperlink r:id="rId7" w:history="1">
        <w:r w:rsidRPr="00696F2E">
          <w:rPr>
            <w:rFonts w:ascii="Century Gothic" w:hAnsi="Century Gothic"/>
          </w:rPr>
          <w:t>HSE 1996</w:t>
        </w:r>
      </w:hyperlink>
      <w:r w:rsidRPr="00696F2E">
        <w:rPr>
          <w:rFonts w:ascii="Century Gothic" w:hAnsi="Century Gothic"/>
        </w:rPr>
        <w:t>)</w:t>
      </w:r>
    </w:p>
    <w:p w:rsidR="00021BC4" w:rsidRPr="00696F2E" w:rsidRDefault="00021BC4" w:rsidP="00021BC4">
      <w:pPr>
        <w:ind w:left="720"/>
        <w:contextualSpacing/>
        <w:rPr>
          <w:rFonts w:ascii="Century Gothic" w:hAnsi="Century Gothic"/>
        </w:rPr>
      </w:pPr>
      <w:r w:rsidRPr="00696F2E">
        <w:rPr>
          <w:rFonts w:ascii="Century Gothic" w:hAnsi="Century Gothic"/>
        </w:rPr>
        <w:t xml:space="preserve"> </w:t>
      </w:r>
    </w:p>
    <w:p w:rsidR="00021BC4" w:rsidRPr="00696F2E" w:rsidRDefault="00021BC4" w:rsidP="00021BC4">
      <w:pPr>
        <w:numPr>
          <w:ilvl w:val="0"/>
          <w:numId w:val="6"/>
        </w:numPr>
        <w:contextualSpacing/>
        <w:rPr>
          <w:rFonts w:ascii="Century Gothic" w:hAnsi="Century Gothic"/>
        </w:rPr>
      </w:pPr>
      <w:r w:rsidRPr="00696F2E">
        <w:rPr>
          <w:rFonts w:ascii="Century Gothic" w:hAnsi="Century Gothic"/>
        </w:rPr>
        <w:t>The intentional application of force to the person of another, without lawful justification, resulting in physical injury or personal discomfort</w:t>
      </w:r>
    </w:p>
    <w:p w:rsidR="00021BC4" w:rsidRPr="00696F2E" w:rsidRDefault="00021BC4" w:rsidP="00021BC4">
      <w:pPr>
        <w:ind w:left="720"/>
        <w:contextualSpacing/>
        <w:rPr>
          <w:rFonts w:ascii="Century Gothic" w:hAnsi="Century Gothic"/>
        </w:rPr>
      </w:pPr>
    </w:p>
    <w:p w:rsidR="00021BC4" w:rsidRPr="00696F2E" w:rsidRDefault="00021BC4" w:rsidP="00021BC4">
      <w:pPr>
        <w:numPr>
          <w:ilvl w:val="0"/>
          <w:numId w:val="6"/>
        </w:numPr>
        <w:contextualSpacing/>
        <w:rPr>
          <w:rFonts w:ascii="Century Gothic" w:hAnsi="Century Gothic"/>
        </w:rPr>
      </w:pPr>
      <w:r w:rsidRPr="00696F2E">
        <w:rPr>
          <w:rFonts w:ascii="Century Gothic" w:hAnsi="Century Gothic"/>
        </w:rPr>
        <w:t>The use of inappropriate or discriminatory words or behaviour causing distress and/or constituting harassment</w:t>
      </w:r>
    </w:p>
    <w:p w:rsidR="00021BC4" w:rsidRPr="00696F2E" w:rsidRDefault="00021BC4" w:rsidP="00021BC4">
      <w:pPr>
        <w:contextualSpacing/>
        <w:rPr>
          <w:rFonts w:ascii="Century Gothic" w:hAnsi="Century Gothic"/>
        </w:rPr>
      </w:pPr>
    </w:p>
    <w:p w:rsidR="00021BC4" w:rsidRPr="00696F2E" w:rsidRDefault="00021BC4" w:rsidP="00021BC4">
      <w:pPr>
        <w:numPr>
          <w:ilvl w:val="0"/>
          <w:numId w:val="6"/>
        </w:numPr>
        <w:contextualSpacing/>
        <w:rPr>
          <w:rFonts w:ascii="Century Gothic" w:hAnsi="Century Gothic"/>
        </w:rPr>
      </w:pPr>
      <w:r w:rsidRPr="00696F2E">
        <w:rPr>
          <w:rFonts w:ascii="Century Gothic" w:hAnsi="Century Gothic"/>
        </w:rPr>
        <w:t>Behaviour that is hostile, destructive and/or violent</w:t>
      </w:r>
    </w:p>
    <w:p w:rsidR="00021BC4" w:rsidRPr="00696F2E" w:rsidRDefault="00021BC4" w:rsidP="00021BC4">
      <w:pPr>
        <w:rPr>
          <w:rFonts w:ascii="Century Gothic" w:hAnsi="Century Gothic"/>
        </w:rPr>
      </w:pPr>
    </w:p>
    <w:p w:rsidR="00021BC4" w:rsidRPr="00696F2E" w:rsidRDefault="00021BC4" w:rsidP="00021BC4">
      <w:pPr>
        <w:rPr>
          <w:rFonts w:ascii="Century Gothic" w:hAnsi="Century Gothic"/>
        </w:rPr>
      </w:pPr>
      <w:r w:rsidRPr="00696F2E">
        <w:rPr>
          <w:rFonts w:ascii="Century Gothic" w:hAnsi="Century Gothic"/>
        </w:rPr>
        <w:t>Classifications for assault are as follows:</w:t>
      </w:r>
    </w:p>
    <w:p w:rsidR="00021BC4" w:rsidRPr="00696F2E" w:rsidRDefault="00021BC4" w:rsidP="00021BC4">
      <w:pPr>
        <w:rPr>
          <w:rFonts w:ascii="Century Gothic" w:hAnsi="Century Gothic"/>
        </w:rPr>
      </w:pPr>
    </w:p>
    <w:p w:rsidR="00021BC4" w:rsidRPr="00696F2E" w:rsidRDefault="00021BC4" w:rsidP="00021BC4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696F2E">
        <w:rPr>
          <w:rFonts w:ascii="Century Gothic" w:hAnsi="Century Gothic"/>
        </w:rPr>
        <w:t>Physical assault is the intentional application of force to the person of another, without lawful justification, resulting in physical injury or personal discomfort</w:t>
      </w:r>
    </w:p>
    <w:p w:rsidR="00021BC4" w:rsidRPr="00696F2E" w:rsidRDefault="00021BC4" w:rsidP="00021BC4">
      <w:pPr>
        <w:pStyle w:val="ListParagraph"/>
        <w:rPr>
          <w:rFonts w:ascii="Century Gothic" w:hAnsi="Century Gothic"/>
        </w:rPr>
      </w:pPr>
    </w:p>
    <w:p w:rsidR="00021BC4" w:rsidRPr="00696F2E" w:rsidRDefault="00021BC4" w:rsidP="00021BC4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696F2E">
        <w:rPr>
          <w:rFonts w:ascii="Century Gothic" w:hAnsi="Century Gothic"/>
        </w:rPr>
        <w:t>Non-physical assault is deemed to be the use of inappropriate or discriminatory words or behaviour causing distress and/or constituting harassment</w:t>
      </w:r>
    </w:p>
    <w:p w:rsidR="00F67024" w:rsidRDefault="00F67024"/>
    <w:p w:rsidR="00021BC4" w:rsidRPr="00021BC4" w:rsidRDefault="00021BC4">
      <w:pPr>
        <w:rPr>
          <w:rFonts w:ascii="Century Gothic" w:hAnsi="Century Gothic"/>
        </w:rPr>
      </w:pPr>
      <w:r w:rsidRPr="00021BC4">
        <w:rPr>
          <w:rFonts w:ascii="Century Gothic" w:hAnsi="Century Gothic"/>
        </w:rPr>
        <w:t xml:space="preserve">Dorridge </w:t>
      </w:r>
      <w:r>
        <w:rPr>
          <w:rFonts w:ascii="Century Gothic" w:hAnsi="Century Gothic"/>
        </w:rPr>
        <w:t xml:space="preserve">Surgery </w:t>
      </w:r>
      <w:r w:rsidRPr="00021BC4">
        <w:rPr>
          <w:rFonts w:ascii="Century Gothic" w:hAnsi="Century Gothic"/>
        </w:rPr>
        <w:t>may respond</w:t>
      </w:r>
      <w:r>
        <w:rPr>
          <w:rFonts w:ascii="Century Gothic" w:hAnsi="Century Gothic"/>
        </w:rPr>
        <w:t xml:space="preserve"> to the above situations in one or more of the following ways</w:t>
      </w:r>
    </w:p>
    <w:p w:rsidR="00021BC4" w:rsidRDefault="00021BC4"/>
    <w:p w:rsidR="00021BC4" w:rsidRDefault="00021BC4"/>
    <w:p w:rsidR="00021BC4" w:rsidRPr="00696F2E" w:rsidRDefault="00021BC4" w:rsidP="00021BC4">
      <w:pPr>
        <w:pStyle w:val="ListParagraph"/>
        <w:numPr>
          <w:ilvl w:val="0"/>
          <w:numId w:val="8"/>
        </w:numPr>
        <w:rPr>
          <w:rFonts w:ascii="Century Gothic" w:eastAsia="Times New Roman" w:hAnsi="Century Gothic" w:cs="Arial"/>
          <w:b/>
          <w:bCs/>
          <w:color w:val="000000" w:themeColor="text1"/>
          <w:lang w:eastAsia="en-GB"/>
        </w:rPr>
      </w:pPr>
      <w:r w:rsidRPr="00696F2E">
        <w:rPr>
          <w:rFonts w:ascii="Century Gothic" w:eastAsia="Times New Roman" w:hAnsi="Century Gothic" w:cs="Arial"/>
          <w:b/>
          <w:bCs/>
          <w:color w:val="000000" w:themeColor="text1"/>
          <w:lang w:eastAsia="en-GB"/>
        </w:rPr>
        <w:t>Speaking to the patient</w:t>
      </w:r>
    </w:p>
    <w:p w:rsidR="00021BC4" w:rsidRDefault="00021BC4" w:rsidP="00021BC4">
      <w:pPr>
        <w:ind w:left="360"/>
        <w:rPr>
          <w:rFonts w:ascii="Arial" w:hAnsi="Arial" w:cs="Arial"/>
        </w:rPr>
      </w:pPr>
    </w:p>
    <w:p w:rsidR="00021BC4" w:rsidRPr="00696F2E" w:rsidRDefault="00021BC4" w:rsidP="00021BC4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bCs/>
        </w:rPr>
      </w:pPr>
      <w:r w:rsidRPr="00696F2E">
        <w:rPr>
          <w:rFonts w:ascii="Century Gothic" w:hAnsi="Century Gothic" w:cs="Arial"/>
          <w:b/>
          <w:bCs/>
        </w:rPr>
        <w:t>Writing to the patient</w:t>
      </w:r>
    </w:p>
    <w:p w:rsidR="00021BC4" w:rsidRPr="00696419" w:rsidRDefault="00021BC4" w:rsidP="00021BC4">
      <w:pPr>
        <w:rPr>
          <w:rFonts w:ascii="Arial" w:eastAsia="Times New Roman" w:hAnsi="Arial" w:cs="Arial"/>
          <w:color w:val="000000" w:themeColor="text1"/>
          <w:lang w:eastAsia="en-GB"/>
        </w:rPr>
      </w:pPr>
    </w:p>
    <w:p w:rsidR="00021BC4" w:rsidRPr="00696F2E" w:rsidRDefault="00021BC4" w:rsidP="00021BC4">
      <w:pPr>
        <w:pStyle w:val="ListParagraph"/>
        <w:numPr>
          <w:ilvl w:val="0"/>
          <w:numId w:val="8"/>
        </w:numPr>
        <w:ind w:hanging="283"/>
        <w:rPr>
          <w:rFonts w:ascii="Century Gothic" w:eastAsia="Times New Roman" w:hAnsi="Century Gothic" w:cs="Arial"/>
          <w:b/>
          <w:bCs/>
          <w:color w:val="000000" w:themeColor="text1"/>
          <w:lang w:eastAsia="en-GB"/>
        </w:rPr>
      </w:pPr>
      <w:r w:rsidRPr="00696F2E">
        <w:rPr>
          <w:rFonts w:ascii="Century Gothic" w:eastAsia="Times New Roman" w:hAnsi="Century Gothic" w:cs="Arial"/>
          <w:b/>
          <w:bCs/>
        </w:rPr>
        <w:t>Behaviour agreement</w:t>
      </w:r>
    </w:p>
    <w:p w:rsidR="00021BC4" w:rsidRDefault="00021BC4" w:rsidP="00021BC4">
      <w:pPr>
        <w:ind w:left="360" w:hanging="283"/>
        <w:rPr>
          <w:rFonts w:ascii="Arial" w:eastAsia="Times New Roman" w:hAnsi="Arial" w:cs="Arial"/>
          <w:color w:val="0563C1" w:themeColor="hyperlink"/>
          <w:u w:val="single"/>
          <w:lang w:eastAsia="en-GB"/>
        </w:rPr>
      </w:pPr>
    </w:p>
    <w:p w:rsidR="00021BC4" w:rsidRPr="00D858EF" w:rsidRDefault="00021BC4" w:rsidP="00021BC4">
      <w:pPr>
        <w:pStyle w:val="ListParagraph"/>
        <w:numPr>
          <w:ilvl w:val="0"/>
          <w:numId w:val="8"/>
        </w:numPr>
        <w:ind w:hanging="283"/>
        <w:rPr>
          <w:rFonts w:ascii="Century Gothic" w:eastAsia="Times New Roman" w:hAnsi="Century Gothic" w:cs="Arial"/>
          <w:b/>
          <w:bCs/>
          <w:color w:val="000000" w:themeColor="text1"/>
          <w:lang w:eastAsia="en-GB"/>
        </w:rPr>
      </w:pPr>
      <w:r w:rsidRPr="00D858EF">
        <w:rPr>
          <w:rFonts w:ascii="Century Gothic" w:eastAsia="Times New Roman" w:hAnsi="Century Gothic" w:cs="Arial"/>
          <w:b/>
          <w:bCs/>
          <w:color w:val="000000" w:themeColor="text1"/>
          <w:lang w:eastAsia="en-GB"/>
        </w:rPr>
        <w:t>Removal from the organisation</w:t>
      </w:r>
    </w:p>
    <w:p w:rsidR="00021BC4" w:rsidRPr="00696419" w:rsidRDefault="00021BC4" w:rsidP="00021BC4">
      <w:pPr>
        <w:ind w:hanging="283"/>
        <w:rPr>
          <w:rFonts w:ascii="Arial" w:eastAsia="Times New Roman" w:hAnsi="Arial" w:cs="Arial"/>
          <w:lang w:eastAsia="en-GB"/>
        </w:rPr>
      </w:pPr>
    </w:p>
    <w:p w:rsidR="00021BC4" w:rsidRPr="00021BC4" w:rsidRDefault="00021BC4" w:rsidP="00021BC4">
      <w:pPr>
        <w:rPr>
          <w:rFonts w:ascii="Century Gothic" w:hAnsi="Century Gothic"/>
        </w:rPr>
      </w:pPr>
      <w:r w:rsidRPr="00021BC4">
        <w:rPr>
          <w:rFonts w:ascii="Century Gothic" w:hAnsi="Century Gothic"/>
        </w:rPr>
        <w:t xml:space="preserve">Please could we ask that you treat our staff with kindness and respect going </w:t>
      </w:r>
      <w:proofErr w:type="gramStart"/>
      <w:r w:rsidRPr="00021BC4">
        <w:rPr>
          <w:rFonts w:ascii="Century Gothic" w:hAnsi="Century Gothic"/>
        </w:rPr>
        <w:t>forward.</w:t>
      </w:r>
      <w:proofErr w:type="gramEnd"/>
      <w:r w:rsidRPr="00021BC4">
        <w:rPr>
          <w:rFonts w:ascii="Century Gothic" w:hAnsi="Century Gothic"/>
        </w:rPr>
        <w:t xml:space="preserve"> They are doing their best to help you in spite of working within the ongoing severe constraints in the NHS that are well publicised. We all recognise the importance of a respectful relationship and hope we can work together well moving forward</w:t>
      </w:r>
    </w:p>
    <w:p w:rsidR="00021BC4" w:rsidRDefault="00021BC4" w:rsidP="00021BC4"/>
    <w:sectPr w:rsidR="00021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CBA259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inorHAnsi" w:hAnsi="Arial" w:cs="Arial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6814" w:hanging="576"/>
      </w:pPr>
      <w:rPr>
        <w:rFonts w:ascii="Arial" w:hAnsi="Arial" w:cs="Arial"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E86639"/>
    <w:multiLevelType w:val="hybridMultilevel"/>
    <w:tmpl w:val="DA80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9F2"/>
    <w:multiLevelType w:val="hybridMultilevel"/>
    <w:tmpl w:val="8AE0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7EB2"/>
    <w:multiLevelType w:val="hybridMultilevel"/>
    <w:tmpl w:val="8208E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D243E"/>
    <w:multiLevelType w:val="hybridMultilevel"/>
    <w:tmpl w:val="3810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B2BF3"/>
    <w:multiLevelType w:val="hybridMultilevel"/>
    <w:tmpl w:val="8724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17EE"/>
    <w:multiLevelType w:val="hybridMultilevel"/>
    <w:tmpl w:val="9A2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F19ED"/>
    <w:multiLevelType w:val="hybridMultilevel"/>
    <w:tmpl w:val="AF5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4"/>
    <w:rsid w:val="00021BC4"/>
    <w:rsid w:val="00F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D28F"/>
  <w15:chartTrackingRefBased/>
  <w15:docId w15:val="{EDF5FB34-06CB-4CA2-8781-CEC9F22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C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B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BC4"/>
    <w:pPr>
      <w:keepNext/>
      <w:keepLines/>
      <w:numPr>
        <w:ilvl w:val="1"/>
        <w:numId w:val="1"/>
      </w:numPr>
      <w:spacing w:before="360" w:line="259" w:lineRule="auto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BC4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1BC4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1BC4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1BC4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1BC4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1BC4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1BC4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B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B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21BC4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21BC4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21BC4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021BC4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021BC4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021B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21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21BC4"/>
    <w:pPr>
      <w:ind w:left="720"/>
      <w:contextualSpacing/>
    </w:pPr>
  </w:style>
  <w:style w:type="character" w:customStyle="1" w:styleId="contentpasted0">
    <w:name w:val="contentpasted0"/>
    <w:basedOn w:val="DefaultParagraphFont"/>
    <w:rsid w:val="0002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gov.uk/pubns/indg6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coronavirus/wp-content/uploads/sites/52/2021/10/BW999-our-plan-for-improving-access-and-supporting-general-practice-oct-21.pdf" TargetMode="External"/><Relationship Id="rId5" Type="http://schemas.openxmlformats.org/officeDocument/2006/relationships/hyperlink" Target="https://practiceindex.co.uk/gp/forum/resources/patient-social-media-and-acceptable-use-policy-for-england.154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Shakespeare</dc:creator>
  <cp:keywords/>
  <dc:description/>
  <cp:lastModifiedBy>Amanda Shakespeare</cp:lastModifiedBy>
  <cp:revision>1</cp:revision>
  <dcterms:created xsi:type="dcterms:W3CDTF">2023-11-21T16:22:00Z</dcterms:created>
  <dcterms:modified xsi:type="dcterms:W3CDTF">2023-11-21T16:51:00Z</dcterms:modified>
</cp:coreProperties>
</file>